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AB" w:rsidRDefault="00724FA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Примітки до річної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звітності</w:t>
      </w:r>
    </w:p>
    <w:p w:rsidR="00724FAB" w:rsidRDefault="00724FA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 «Барськиймашинобудівний завод» </w:t>
      </w:r>
    </w:p>
    <w:p w:rsidR="00724FAB" w:rsidRDefault="00724FA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  (2013рік) за МСФЗ</w:t>
      </w:r>
    </w:p>
    <w:p w:rsidR="00724FAB" w:rsidRDefault="00724FA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ПАТ «Барський машзавод» виробниче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яке формується на принципах діяльності в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економіки, на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маркетингових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досліджень, домовленості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споживачами, наявності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документації і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виробництва,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незавершеного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 і запасів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матеріально-технічних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, тому вдалося сформувати план, який відповідає потребам споживачів та можливостям підприємства.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 працював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 конкретного замовника та перейшов до освоєння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продукції. Продукція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сертифікована і користується попитом, як на національному, так і на міжнародних ринках.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продукції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 без ПДВ за 201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 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69706,6</w:t>
      </w:r>
      <w:r>
        <w:rPr>
          <w:rFonts w:ascii="Times New Roman" w:hAnsi="Times New Roman" w:cs="Times New Roman"/>
          <w:sz w:val="28"/>
          <w:szCs w:val="28"/>
        </w:rPr>
        <w:t> тис. грн.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продукції по виготовленню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опалювальних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котлів, підприємство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 по будівництву та обладнанню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котелень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для кондитерської промисловості виробництво вузлів формування карамелі.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Підприємство також займається зовнішньоекономічною діяльністю, 80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договора із країнами СНД, Прибалтики. </w:t>
      </w:r>
      <w:r>
        <w:rPr>
          <w:rFonts w:ascii="Times New Roman" w:hAnsi="Times New Roman" w:cs="Times New Roman"/>
          <w:sz w:val="28"/>
          <w:szCs w:val="28"/>
        </w:rPr>
        <w:t>Відвантажено на експорт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25312,5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Середньооблікова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чисельність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облікового складу – </w:t>
      </w:r>
      <w:r>
        <w:rPr>
          <w:rFonts w:ascii="Times New Roman" w:hAnsi="Times New Roman" w:cs="Times New Roman"/>
          <w:sz w:val="28"/>
          <w:szCs w:val="28"/>
          <w:lang w:val="uk-UA"/>
        </w:rPr>
        <w:t>450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ПАТ відповідно до Закону України «Про бухгалтерський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 та фінансову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звітність в Україні» вибрало дату переходу на МСФЗ 01.01.2012 р. У 2012 році ПАТ склада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>попередню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фінансову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звітність за МСФЗ. Перша фінансова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звітність за МСФЗ, 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винятків у МСФЗ 1, застосована за 2013 рік.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нормативних документах з національного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окремий документ – Концептуальна основа П(с)БО. Фактично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принципи та теоретичні засади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містяться у ЗаконіУкраїни «Про бухгалтерський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 та фінансову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звітність» та у П(с)БО1 «Загальні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вимоги до фінансової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звітності».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принципів за МСФЗ та П(с)БО є близькими, але групування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відмінності. ПАТ забезпечило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дотримання П(с)БО,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трансформаційні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незначні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трансформації </w:t>
      </w:r>
      <w:r>
        <w:rPr>
          <w:rFonts w:ascii="Times New Roman" w:hAnsi="Times New Roman" w:cs="Times New Roman"/>
          <w:sz w:val="28"/>
          <w:szCs w:val="28"/>
        </w:rPr>
        <w:t>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зроблені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коригування:</w:t>
      </w:r>
    </w:p>
    <w:p w:rsidR="00724FAB" w:rsidRDefault="00724FAB">
      <w:pPr>
        <w:numPr>
          <w:ilvl w:val="0"/>
          <w:numId w:val="1"/>
        </w:numPr>
        <w:spacing w:after="12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изнання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зобов’язань, які на дату застосування МСФЗ не відповідають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визнання за міжнародними стандартами (рах. 644, 643,)</w:t>
      </w:r>
    </w:p>
    <w:p w:rsidR="00724FAB" w:rsidRDefault="00724FAB">
      <w:pPr>
        <w:numPr>
          <w:ilvl w:val="0"/>
          <w:numId w:val="1"/>
        </w:numPr>
        <w:spacing w:after="12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Перекласифікація як перенесення – суми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 балансу до іншої (незавершене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капіталізовано як окремі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засобів, які не амортизуються до ввода в експлуатацію).</w:t>
      </w:r>
    </w:p>
    <w:p w:rsidR="00724FAB" w:rsidRDefault="00724F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задача ПАТ при управлінні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капіталом –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функціювати з метою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акціонерам і вигод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зацікавлених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сторін,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капітала. На протязі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підхід ПАТ до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капіталом не змінювався.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Ризики</w:t>
      </w:r>
    </w:p>
    <w:p w:rsidR="00724FAB" w:rsidRDefault="00724F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Податкове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законодавство і митне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роз’яснюватись по різному і дуже часто змінюється. Відповідні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заперечувати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норми, при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примінені в операційній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податків, штрафів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пені.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мають право перевіряти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періоди на протязі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за результатами податкової перевірки 2013 року було нараховано фінансові санкції в сумі 91,0 тис.грн.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Пов’язані особи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Ціни в операціях з пов’язаними особами визначаються на поточній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основі.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 з пов’язаними сторонами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01.09.2013 р.</w:t>
      </w:r>
      <w:r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відрізнятись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ринкових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ст..39 ПКУ.</w:t>
      </w:r>
    </w:p>
    <w:p w:rsidR="00724FAB" w:rsidRDefault="00724FA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керівників, спеціалістів, службовців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склала 3 </w:t>
      </w:r>
      <w:r>
        <w:rPr>
          <w:rFonts w:ascii="Times New Roman" w:hAnsi="Times New Roman" w:cs="Times New Roman"/>
          <w:sz w:val="28"/>
          <w:szCs w:val="28"/>
          <w:lang w:val="uk-UA"/>
        </w:rPr>
        <w:t>365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 тис. грн. Виплати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пов’язані з акціями не проводились. Дивіденди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власникам не нараховувались та не виплачувались за попередні роки. Весь прибуток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отриманий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направлєно на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підприємства, як інвестиції в матеріальні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 про фінансовий стан (баланс) станом на 31.12.201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 року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містить рядки:</w:t>
      </w:r>
    </w:p>
    <w:p w:rsidR="00724FAB" w:rsidRDefault="00724FAB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залишкові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вартості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numPr>
          <w:ilvl w:val="0"/>
          <w:numId w:val="3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залишковій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складають 1</w:t>
      </w:r>
      <w:r>
        <w:rPr>
          <w:rFonts w:ascii="Times New Roman" w:hAnsi="Times New Roman" w:cs="Times New Roman"/>
          <w:sz w:val="28"/>
          <w:szCs w:val="28"/>
          <w:lang w:val="uk-UA"/>
        </w:rPr>
        <w:t>1186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Надійшло за рік на суму </w:t>
      </w:r>
      <w:r>
        <w:rPr>
          <w:rFonts w:ascii="Times New Roman" w:hAnsi="Times New Roman" w:cs="Times New Roman"/>
          <w:sz w:val="28"/>
          <w:szCs w:val="28"/>
          <w:lang w:val="uk-UA"/>
        </w:rPr>
        <w:t>3010</w:t>
      </w:r>
      <w:r>
        <w:rPr>
          <w:rFonts w:ascii="Times New Roman" w:hAnsi="Times New Roman" w:cs="Times New Roman"/>
          <w:sz w:val="28"/>
          <w:szCs w:val="28"/>
        </w:rPr>
        <w:t> тис. грн., вибуло за залишковою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вартістю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7 тис. грн., перекласифіковано з незавершеного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675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рік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нарахованоамортизації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2274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Іншіфінансові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інвестиції – 30 тис.грн.</w:t>
      </w:r>
    </w:p>
    <w:p w:rsidR="00724FAB" w:rsidRDefault="00724FAB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грошовікошти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 ч.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поточних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рахунках у банку </w:t>
      </w:r>
      <w:r>
        <w:rPr>
          <w:rFonts w:ascii="Times New Roman" w:hAnsi="Times New Roman" w:cs="Times New Roman"/>
          <w:sz w:val="28"/>
          <w:szCs w:val="28"/>
          <w:lang w:val="uk-UA"/>
        </w:rPr>
        <w:t>1716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еквіваленти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грошових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коштів (депозит)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numPr>
          <w:ilvl w:val="0"/>
          <w:numId w:val="5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і резерви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виплат персоналу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 тис. грн., рекласифіковані в статтю «Поточні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забезпечення»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езерв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сумнівнихборгів за методом індивідуального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підходу до покупців в сумі 264 тис. грн. (Мінпромполітика 261 тис. грн., Редчик – 3 тис. грн.)</w:t>
      </w:r>
    </w:p>
    <w:p w:rsidR="00724FAB" w:rsidRDefault="00724FAB">
      <w:pPr>
        <w:numPr>
          <w:ilvl w:val="0"/>
          <w:numId w:val="6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Запаси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 ч.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сировина і матеріали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3710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купівельні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комплектуючі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3451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будівельні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запасні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МШП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092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виробництво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4057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spacing w:after="0" w:line="240" w:lineRule="auto"/>
        <w:ind w:left="2137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продукція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3482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Дебіторська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заборгованість за чистою реалізаційною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вартістю </w:t>
      </w:r>
      <w:r>
        <w:rPr>
          <w:rFonts w:ascii="Times New Roman" w:hAnsi="Times New Roman" w:cs="Times New Roman"/>
          <w:sz w:val="28"/>
          <w:szCs w:val="28"/>
          <w:lang w:val="uk-UA"/>
        </w:rPr>
        <w:t>6207</w:t>
      </w:r>
      <w:r>
        <w:rPr>
          <w:rFonts w:ascii="Times New Roman" w:hAnsi="Times New Roman" w:cs="Times New Roman"/>
          <w:sz w:val="28"/>
          <w:szCs w:val="28"/>
        </w:rPr>
        <w:t> тис. грн. зі сроком погашення до 1 року</w:t>
      </w:r>
    </w:p>
    <w:p w:rsidR="00724FAB" w:rsidRDefault="00724FAB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дебіторська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заборгованість в сумі 2 </w:t>
      </w:r>
      <w:r>
        <w:rPr>
          <w:rFonts w:ascii="Times New Roman" w:hAnsi="Times New Roman" w:cs="Times New Roman"/>
          <w:sz w:val="28"/>
          <w:szCs w:val="28"/>
          <w:lang w:val="uk-UA"/>
        </w:rPr>
        <w:t>536</w:t>
      </w:r>
      <w:r>
        <w:rPr>
          <w:rFonts w:ascii="Times New Roman" w:hAnsi="Times New Roman" w:cs="Times New Roman"/>
          <w:sz w:val="28"/>
          <w:szCs w:val="28"/>
        </w:rPr>
        <w:t>тис. грн.(з урахуванням того, що при трансформації баланса виключено сальдо по рах. 644 податковий кредит,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виник в момент оплати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</w:rPr>
        <w:t> тис. грн.) </w:t>
      </w:r>
    </w:p>
    <w:p w:rsidR="00724FAB" w:rsidRDefault="00724FAB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Дебіторська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заборгованість з бюджетом 1</w:t>
      </w: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виданими авансами </w:t>
      </w:r>
      <w:r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 тис. грн. </w:t>
      </w:r>
    </w:p>
    <w:p w:rsidR="00724FAB" w:rsidRDefault="00724FAB">
      <w:pPr>
        <w:numPr>
          <w:ilvl w:val="0"/>
          <w:numId w:val="8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 205 тис. грн.</w:t>
      </w:r>
    </w:p>
    <w:p w:rsidR="00724FAB" w:rsidRDefault="00724FAB">
      <w:pPr>
        <w:numPr>
          <w:ilvl w:val="0"/>
          <w:numId w:val="8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 ч.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Індексація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засобів 25 636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емісійний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дохід    1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іншийдодатковийкапітал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13857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резервнийкапітал 51 тис.грн.</w:t>
      </w:r>
    </w:p>
    <w:p w:rsidR="00724FAB" w:rsidRDefault="00724FAB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Нерозподілений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прибуток поточного  року </w:t>
      </w:r>
      <w:r>
        <w:rPr>
          <w:rFonts w:ascii="Times New Roman" w:hAnsi="Times New Roman" w:cs="Times New Roman"/>
          <w:sz w:val="28"/>
          <w:szCs w:val="28"/>
          <w:lang w:val="uk-UA"/>
        </w:rPr>
        <w:t>877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заборгованість за товари, роботи,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6826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одержанихавансів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вирахування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зобов’язань з ПДВ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виникли в момент оплати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 тис. грн.)</w:t>
      </w:r>
    </w:p>
    <w:p w:rsidR="00724FAB" w:rsidRDefault="00724FAB">
      <w:pPr>
        <w:numPr>
          <w:ilvl w:val="0"/>
          <w:numId w:val="10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розрахунками з бюджетом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> тис.грн.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зобов’язання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яких на звітну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дати не настав)</w:t>
      </w:r>
    </w:p>
    <w:p w:rsidR="00724FAB" w:rsidRDefault="00724FAB">
      <w:pPr>
        <w:numPr>
          <w:ilvl w:val="0"/>
          <w:numId w:val="12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оплати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останній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місяць)</w:t>
      </w:r>
    </w:p>
    <w:p w:rsidR="00724FAB" w:rsidRDefault="00724FAB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зобов’язання 3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коригувань при трансформації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</w:rPr>
        <w:t> тис. грн.)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4FAB" w:rsidRDefault="00724FAB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Звіт про сукупні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прибутки та збитки</w:t>
      </w:r>
    </w:p>
    <w:p w:rsidR="00724FAB" w:rsidRDefault="00724FAB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визнані за період 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 року містить:</w:t>
      </w:r>
    </w:p>
    <w:p w:rsidR="00724FAB" w:rsidRDefault="00724FAB">
      <w:pPr>
        <w:numPr>
          <w:ilvl w:val="0"/>
          <w:numId w:val="14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 тис. грн.</w:t>
      </w:r>
    </w:p>
    <w:p w:rsidR="00724FAB" w:rsidRDefault="00724FAB">
      <w:pPr>
        <w:numPr>
          <w:ilvl w:val="0"/>
          <w:numId w:val="1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різниці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572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різниці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717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</w:rPr>
        <w:tab/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1848</w:t>
      </w:r>
      <w:r>
        <w:rPr>
          <w:rFonts w:ascii="Times New Roman" w:hAnsi="Times New Roman" w:cs="Times New Roman"/>
          <w:sz w:val="28"/>
          <w:szCs w:val="28"/>
        </w:rPr>
        <w:t>тис. грн.</w:t>
      </w:r>
    </w:p>
    <w:p w:rsidR="00724FAB" w:rsidRDefault="00724FAB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1709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по утриманню медпункту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операційні доходи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27300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витрати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27650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за нарахованими процентами по кредиту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480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фінансовийдохід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доходи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необоротних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податок на прибуток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829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товарів, послуг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71688</w:t>
      </w:r>
      <w:r>
        <w:rPr>
          <w:rFonts w:ascii="Times New Roman" w:hAnsi="Times New Roman" w:cs="Times New Roman"/>
          <w:sz w:val="28"/>
          <w:szCs w:val="28"/>
        </w:rPr>
        <w:t> тис. грн.</w:t>
      </w:r>
    </w:p>
    <w:p w:rsidR="00724FAB" w:rsidRDefault="00724FAB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собівартість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63443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тис. грн.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приміток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надається: наказ про обліковуполітику ПАТ, план 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застосовує ПАТ,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національних П(с)БО та МСФЗ, методика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обліку.</w:t>
      </w: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FAB" w:rsidRDefault="0072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правління                                                                Лук І.Г.</w:t>
      </w:r>
    </w:p>
    <w:p w:rsidR="00724FAB" w:rsidRDefault="00724FAB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24FAB" w:rsidRDefault="00724F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4FAB" w:rsidSect="0072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5F"/>
    <w:multiLevelType w:val="multilevel"/>
    <w:tmpl w:val="C74C2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">
    <w:nsid w:val="19DA705A"/>
    <w:multiLevelType w:val="multilevel"/>
    <w:tmpl w:val="03645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2">
    <w:nsid w:val="1B635A7C"/>
    <w:multiLevelType w:val="multilevel"/>
    <w:tmpl w:val="0E0C3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3">
    <w:nsid w:val="1B6648C9"/>
    <w:multiLevelType w:val="multilevel"/>
    <w:tmpl w:val="FAB8F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4">
    <w:nsid w:val="2FAE6675"/>
    <w:multiLevelType w:val="multilevel"/>
    <w:tmpl w:val="BF329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5">
    <w:nsid w:val="34B65666"/>
    <w:multiLevelType w:val="multilevel"/>
    <w:tmpl w:val="B09C0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6">
    <w:nsid w:val="393E3BA1"/>
    <w:multiLevelType w:val="multilevel"/>
    <w:tmpl w:val="90488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7">
    <w:nsid w:val="39A81AE3"/>
    <w:multiLevelType w:val="multilevel"/>
    <w:tmpl w:val="78503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8">
    <w:nsid w:val="4339293E"/>
    <w:multiLevelType w:val="multilevel"/>
    <w:tmpl w:val="F20A1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9">
    <w:nsid w:val="47C04C47"/>
    <w:multiLevelType w:val="multilevel"/>
    <w:tmpl w:val="13F8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0">
    <w:nsid w:val="53367E49"/>
    <w:multiLevelType w:val="multilevel"/>
    <w:tmpl w:val="37C2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1">
    <w:nsid w:val="575A5CC0"/>
    <w:multiLevelType w:val="multilevel"/>
    <w:tmpl w:val="1318D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2">
    <w:nsid w:val="589D4DBC"/>
    <w:multiLevelType w:val="multilevel"/>
    <w:tmpl w:val="B2503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3">
    <w:nsid w:val="633E0DA3"/>
    <w:multiLevelType w:val="multilevel"/>
    <w:tmpl w:val="B120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4">
    <w:nsid w:val="64A96613"/>
    <w:multiLevelType w:val="multilevel"/>
    <w:tmpl w:val="43CA0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5">
    <w:nsid w:val="6A0809AA"/>
    <w:multiLevelType w:val="multilevel"/>
    <w:tmpl w:val="FDDEB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6">
    <w:nsid w:val="6A5F0830"/>
    <w:multiLevelType w:val="multilevel"/>
    <w:tmpl w:val="76484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abstractNum w:abstractNumId="17">
    <w:nsid w:val="6FD63079"/>
    <w:multiLevelType w:val="multilevel"/>
    <w:tmpl w:val="7A322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4"/>
  </w:num>
  <w:num w:numId="5">
    <w:abstractNumId w:val="6"/>
  </w:num>
  <w:num w:numId="6">
    <w:abstractNumId w:val="3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FAB"/>
    <w:rsid w:val="0072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1060</Words>
  <Characters>6044</Characters>
  <Application>Microsoft Office Outlook</Application>
  <DocSecurity>0</DocSecurity>
  <Lines>0</Lines>
  <Paragraphs>0</Paragraphs>
  <ScaleCrop>false</ScaleCrop>
  <Company>unknow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midav</dc:creator>
  <cp:keywords/>
  <dc:description/>
  <cp:lastModifiedBy>midav</cp:lastModifiedBy>
  <cp:revision>4</cp:revision>
  <dcterms:created xsi:type="dcterms:W3CDTF">2014-03-11T12:02:00Z</dcterms:created>
  <dcterms:modified xsi:type="dcterms:W3CDTF">2014-03-24T15:13:00Z</dcterms:modified>
</cp:coreProperties>
</file>