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EB" w:rsidRDefault="001304C2">
      <w:r>
        <w:t>Шановні акціонери! Повідомляємо, що в тексті бюлетеня для голосування на дистанційних загальних зборах, який був розміщений на сайті 20.10.2023 року була допущена помилка. Станом на 23.10.2023 року на сайті розміщений виправлений бюлетень. Дякуємо за розуміння!</w:t>
      </w:r>
      <w:bookmarkStart w:id="0" w:name="_GoBack"/>
      <w:bookmarkEnd w:id="0"/>
    </w:p>
    <w:sectPr w:rsidR="007F2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DE"/>
    <w:rsid w:val="001304C2"/>
    <w:rsid w:val="00535ADE"/>
    <w:rsid w:val="007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C016"/>
  <w15:chartTrackingRefBased/>
  <w15:docId w15:val="{DE3E949E-C78D-457B-A848-279066B7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2</cp:revision>
  <dcterms:created xsi:type="dcterms:W3CDTF">2023-10-23T12:07:00Z</dcterms:created>
  <dcterms:modified xsi:type="dcterms:W3CDTF">2023-10-23T12:12:00Z</dcterms:modified>
</cp:coreProperties>
</file>