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A2098F" w:rsidRDefault="009F3D07" w:rsidP="00743F08">
      <w:pPr>
        <w:pStyle w:val="a5"/>
        <w:ind w:left="6237" w:right="0"/>
        <w:rPr>
          <w:b/>
        </w:rPr>
      </w:pPr>
      <w:r>
        <w:rPr>
          <w:sz w:val="18"/>
          <w:szCs w:val="18"/>
        </w:rPr>
        <w:t>До</w:t>
      </w:r>
      <w:r w:rsidRPr="00555A9C">
        <w:rPr>
          <w:sz w:val="18"/>
          <w:szCs w:val="18"/>
        </w:rPr>
        <w:t>даток №</w:t>
      </w:r>
      <w:r>
        <w:rPr>
          <w:sz w:val="18"/>
          <w:szCs w:val="18"/>
        </w:rPr>
        <w:t xml:space="preserve"> 2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="00743F08" w:rsidRPr="00555A9C">
        <w:rPr>
          <w:caps/>
          <w:sz w:val="18"/>
          <w:szCs w:val="18"/>
        </w:rPr>
        <w:t xml:space="preserve">ПРАТ </w:t>
      </w:r>
      <w:r w:rsidR="00743F08">
        <w:rPr>
          <w:bCs/>
          <w:caps/>
          <w:szCs w:val="20"/>
        </w:rPr>
        <w:t xml:space="preserve">«БАРСЬКИЙ МАШЗАВОД» </w:t>
      </w:r>
      <w:r w:rsidR="00743F08" w:rsidRPr="00555A9C">
        <w:rPr>
          <w:sz w:val="18"/>
          <w:szCs w:val="18"/>
        </w:rPr>
        <w:t xml:space="preserve">від </w:t>
      </w:r>
      <w:r w:rsidR="00743F08">
        <w:rPr>
          <w:sz w:val="18"/>
          <w:szCs w:val="18"/>
        </w:rPr>
        <w:t>14.</w:t>
      </w:r>
      <w:r w:rsidR="00743F08">
        <w:rPr>
          <w:sz w:val="18"/>
          <w:szCs w:val="18"/>
        </w:rPr>
        <w:t xml:space="preserve">листопада </w:t>
      </w:r>
      <w:r w:rsidR="00743F08">
        <w:rPr>
          <w:sz w:val="18"/>
          <w:szCs w:val="18"/>
        </w:rPr>
        <w:t xml:space="preserve">2024 </w:t>
      </w:r>
      <w:r w:rsidR="00743F08" w:rsidRPr="00555A9C">
        <w:rPr>
          <w:sz w:val="18"/>
          <w:szCs w:val="18"/>
        </w:rPr>
        <w:t>року</w:t>
      </w: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A2098F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743F08">
              <w:rPr>
                <w:b/>
                <w:sz w:val="22"/>
              </w:rPr>
              <w:t>«</w:t>
            </w:r>
            <w:r w:rsidR="00743F08" w:rsidRPr="00743F08">
              <w:rPr>
                <w:b/>
                <w:caps/>
                <w:sz w:val="22"/>
              </w:rPr>
              <w:t>Барський машинобудівний завод»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743F08" w:rsidRPr="00743F08">
              <w:rPr>
                <w:b/>
                <w:bCs/>
                <w:szCs w:val="20"/>
              </w:rPr>
              <w:t>14307570</w:t>
            </w:r>
            <w:r w:rsidR="00643F6C" w:rsidRPr="00743F08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743F0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743F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D2724C" w:rsidRDefault="00643F6C" w:rsidP="00D2724C">
            <w:pPr>
              <w:widowControl w:val="0"/>
              <w:ind w:firstLine="885"/>
              <w:jc w:val="center"/>
              <w:rPr>
                <w:b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</w:p>
          <w:p w:rsidR="00D2724C" w:rsidRDefault="00743F08" w:rsidP="00D2724C">
            <w:pPr>
              <w:widowControl w:val="0"/>
              <w:ind w:firstLine="8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листопада</w:t>
            </w:r>
            <w:r w:rsidR="00643F6C" w:rsidRPr="00A807AB">
              <w:rPr>
                <w:b/>
                <w:sz w:val="20"/>
                <w:szCs w:val="20"/>
              </w:rPr>
              <w:t xml:space="preserve"> 2024 року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43F08" w:rsidRPr="00743F08" w:rsidRDefault="00EF0BAD" w:rsidP="00743F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724C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643F6C" w:rsidRPr="00D2724C">
              <w:rPr>
                <w:color w:val="000000"/>
                <w:sz w:val="20"/>
                <w:szCs w:val="20"/>
                <w:shd w:val="clear" w:color="auto" w:fill="FFFFFF"/>
              </w:rPr>
              <w:t>олосування</w:t>
            </w:r>
            <w:r w:rsidR="00125A18" w:rsidRPr="00D2724C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F6C" w:rsidRPr="00D2724C">
              <w:rPr>
                <w:color w:val="000000"/>
                <w:sz w:val="2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D2724C">
              <w:rPr>
                <w:b/>
                <w:sz w:val="20"/>
                <w:szCs w:val="20"/>
              </w:rPr>
              <w:t>ПРИВАТНОГО АКЦІОНЕРНОГО ТОВАРИСТВА</w:t>
            </w:r>
            <w:r w:rsidR="00743F08" w:rsidRPr="00D2724C">
              <w:rPr>
                <w:b/>
                <w:sz w:val="20"/>
                <w:szCs w:val="20"/>
              </w:rPr>
              <w:t xml:space="preserve"> </w:t>
            </w:r>
            <w:r w:rsidR="00743F08" w:rsidRPr="00D2724C">
              <w:rPr>
                <w:b/>
                <w:sz w:val="20"/>
                <w:szCs w:val="20"/>
              </w:rPr>
              <w:t>«</w:t>
            </w:r>
            <w:r w:rsidR="00743F08" w:rsidRPr="00D2724C">
              <w:rPr>
                <w:b/>
                <w:caps/>
                <w:sz w:val="20"/>
                <w:szCs w:val="20"/>
              </w:rPr>
              <w:t>Барський машинобудівний</w:t>
            </w:r>
            <w:r w:rsidR="00743F08" w:rsidRPr="00743F08">
              <w:rPr>
                <w:b/>
                <w:caps/>
                <w:sz w:val="20"/>
                <w:szCs w:val="20"/>
              </w:rPr>
              <w:t xml:space="preserve"> завод»</w:t>
            </w:r>
          </w:p>
          <w:p w:rsidR="00643F6C" w:rsidRPr="00A807AB" w:rsidRDefault="00643F6C" w:rsidP="00743F08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743F08">
              <w:rPr>
                <w:color w:val="000000"/>
                <w:szCs w:val="20"/>
                <w:shd w:val="clear" w:color="auto" w:fill="FFFFFF"/>
              </w:rPr>
              <w:t>14 листопада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4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з 11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годині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743F08">
              <w:rPr>
                <w:color w:val="000000"/>
                <w:szCs w:val="20"/>
                <w:shd w:val="clear" w:color="auto" w:fill="FFFFFF"/>
              </w:rPr>
              <w:t>29 листопада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4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</w:t>
            </w:r>
          </w:p>
          <w:p w:rsidR="00643F6C" w:rsidRPr="00A807AB" w:rsidRDefault="00643F6C" w:rsidP="00743F0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2724C" w:rsidP="009F3D0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29 листопада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D2724C" w:rsidRDefault="009F3D07" w:rsidP="00D2724C">
            <w:pPr>
              <w:jc w:val="both"/>
              <w:rPr>
                <w:b/>
                <w:sz w:val="20"/>
                <w:szCs w:val="20"/>
              </w:rPr>
            </w:pPr>
            <w:r w:rsidRPr="004E640D">
              <w:rPr>
                <w:b/>
                <w:sz w:val="20"/>
                <w:szCs w:val="20"/>
              </w:rPr>
              <w:t xml:space="preserve">1. </w:t>
            </w:r>
            <w:r w:rsidR="00D2724C">
              <w:rPr>
                <w:b/>
                <w:sz w:val="20"/>
                <w:szCs w:val="20"/>
              </w:rPr>
              <w:t xml:space="preserve">Звіт Дирекції про підсумки фінансово - господарської діяльності за 2023 рік та прийняття рішення за наслідками розгляду звіту. </w:t>
            </w:r>
          </w:p>
          <w:p w:rsidR="00643F6C" w:rsidRPr="00A2098F" w:rsidRDefault="00643F6C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4C" w:rsidRPr="00D2724C" w:rsidRDefault="00D2724C" w:rsidP="00AC42E8">
            <w:pPr>
              <w:pStyle w:val="31"/>
              <w:ind w:firstLine="33"/>
              <w:jc w:val="both"/>
              <w:rPr>
                <w:sz w:val="20"/>
                <w:szCs w:val="20"/>
              </w:rPr>
            </w:pPr>
            <w:r w:rsidRPr="00D2724C">
              <w:rPr>
                <w:sz w:val="20"/>
                <w:szCs w:val="20"/>
              </w:rPr>
              <w:t>Затвердити звіт Дирекції про підсумки фінансово – господарської діяльності за 2023 рік</w:t>
            </w:r>
            <w:r w:rsidRPr="00D2724C">
              <w:rPr>
                <w:iCs/>
                <w:sz w:val="20"/>
                <w:szCs w:val="20"/>
              </w:rPr>
              <w:t>.</w:t>
            </w:r>
            <w:r w:rsidRPr="00D2724C">
              <w:rPr>
                <w:sz w:val="20"/>
                <w:szCs w:val="20"/>
              </w:rPr>
              <w:t xml:space="preserve"> Роботу Дирекції визнати задовільною.</w:t>
            </w:r>
          </w:p>
          <w:p w:rsidR="00643F6C" w:rsidRPr="00A2098F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94C" w:rsidRPr="008B73B3" w:rsidRDefault="00643F6C" w:rsidP="00964FB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43F6C" w:rsidRPr="008B73B3" w:rsidRDefault="00A2098F" w:rsidP="00D272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40D">
              <w:rPr>
                <w:b/>
                <w:sz w:val="20"/>
                <w:szCs w:val="20"/>
              </w:rPr>
              <w:t xml:space="preserve">Звіт Наглядової ради за </w:t>
            </w:r>
            <w:r>
              <w:rPr>
                <w:b/>
                <w:sz w:val="20"/>
                <w:szCs w:val="20"/>
              </w:rPr>
              <w:t xml:space="preserve">2023 </w:t>
            </w:r>
            <w:r w:rsidRPr="005C33C9">
              <w:rPr>
                <w:b/>
                <w:sz w:val="20"/>
                <w:szCs w:val="20"/>
              </w:rPr>
              <w:t>р</w:t>
            </w:r>
            <w:r w:rsidR="00D2724C">
              <w:rPr>
                <w:b/>
                <w:sz w:val="20"/>
                <w:szCs w:val="20"/>
              </w:rPr>
              <w:t>ік</w:t>
            </w:r>
            <w:r>
              <w:rPr>
                <w:b/>
                <w:sz w:val="20"/>
                <w:szCs w:val="20"/>
              </w:rPr>
              <w:t>, п</w:t>
            </w:r>
            <w:r w:rsidRPr="004E640D">
              <w:rPr>
                <w:b/>
                <w:sz w:val="20"/>
                <w:szCs w:val="20"/>
              </w:rPr>
              <w:t xml:space="preserve">рийняття рішення за </w:t>
            </w:r>
            <w:r>
              <w:rPr>
                <w:b/>
                <w:sz w:val="20"/>
                <w:szCs w:val="20"/>
              </w:rPr>
              <w:t>результатами</w:t>
            </w:r>
            <w:r w:rsidRPr="004E640D">
              <w:rPr>
                <w:b/>
                <w:sz w:val="20"/>
                <w:szCs w:val="20"/>
              </w:rPr>
              <w:t xml:space="preserve"> розгляду звіту.</w: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8B73B3" w:rsidRDefault="00632AB7" w:rsidP="0027194C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2"/>
                <w:szCs w:val="22"/>
              </w:rPr>
            </w:pPr>
          </w:p>
          <w:p w:rsidR="00A2098F" w:rsidRPr="004E640D" w:rsidRDefault="00A2098F" w:rsidP="00AC42E8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4E640D">
              <w:rPr>
                <w:iCs/>
                <w:color w:val="auto"/>
                <w:sz w:val="20"/>
                <w:szCs w:val="20"/>
              </w:rPr>
              <w:t xml:space="preserve">Затвердити звіт Наглядової ради за </w:t>
            </w:r>
            <w:r w:rsidRPr="005C33C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C33C9">
              <w:rPr>
                <w:sz w:val="20"/>
                <w:szCs w:val="20"/>
              </w:rPr>
              <w:t xml:space="preserve"> </w:t>
            </w:r>
            <w:r w:rsidR="00D2724C">
              <w:rPr>
                <w:sz w:val="20"/>
                <w:szCs w:val="20"/>
              </w:rPr>
              <w:t>рік</w:t>
            </w:r>
            <w:r w:rsidRPr="004E640D">
              <w:rPr>
                <w:iCs/>
                <w:color w:val="auto"/>
                <w:sz w:val="20"/>
                <w:szCs w:val="20"/>
              </w:rPr>
              <w:t xml:space="preserve">. </w:t>
            </w:r>
            <w:r w:rsidRPr="004E640D">
              <w:rPr>
                <w:color w:val="auto"/>
                <w:sz w:val="20"/>
                <w:szCs w:val="20"/>
              </w:rPr>
              <w:t>Роботу Наглядової ради визнати задовільною.</w:t>
            </w:r>
          </w:p>
          <w:p w:rsidR="00643F6C" w:rsidRPr="008B73B3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AC42E8">
        <w:trPr>
          <w:trHeight w:val="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2098F" w:rsidRDefault="0027194C" w:rsidP="003B103F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A2098F">
              <w:rPr>
                <w:b/>
                <w:sz w:val="20"/>
                <w:szCs w:val="20"/>
              </w:rPr>
              <w:t>3.</w:t>
            </w:r>
            <w:r w:rsidR="003B103F">
              <w:rPr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="00D2724C" w:rsidRPr="004E640D">
              <w:rPr>
                <w:b/>
                <w:sz w:val="20"/>
                <w:szCs w:val="20"/>
                <w:lang w:val="uk-UA"/>
              </w:rPr>
              <w:t xml:space="preserve">Затвердження </w:t>
            </w:r>
            <w:r w:rsidR="00D2724C">
              <w:rPr>
                <w:b/>
                <w:sz w:val="20"/>
                <w:szCs w:val="20"/>
                <w:lang w:val="uk-UA"/>
              </w:rPr>
              <w:t xml:space="preserve">результатів фінансово- господарської діяльності Товариства </w:t>
            </w:r>
            <w:r w:rsidR="00D2724C" w:rsidRPr="004E640D">
              <w:rPr>
                <w:b/>
                <w:sz w:val="20"/>
                <w:szCs w:val="20"/>
                <w:lang w:val="uk-UA"/>
              </w:rPr>
              <w:t xml:space="preserve">за </w:t>
            </w:r>
            <w:r w:rsidR="00D2724C">
              <w:rPr>
                <w:b/>
                <w:sz w:val="20"/>
                <w:szCs w:val="20"/>
                <w:lang w:val="uk-UA"/>
              </w:rPr>
              <w:t>2023 рік та розподіл прибутку.</w:t>
            </w: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24C" w:rsidRPr="006C150F" w:rsidRDefault="00D2724C" w:rsidP="00AC42E8">
            <w:pPr>
              <w:pStyle w:val="a8"/>
              <w:ind w:left="33"/>
              <w:rPr>
                <w:b w:val="0"/>
                <w:bCs w:val="0"/>
                <w:iCs/>
                <w:sz w:val="20"/>
                <w:szCs w:val="20"/>
              </w:rPr>
            </w:pPr>
            <w:r w:rsidRPr="006C150F">
              <w:rPr>
                <w:b w:val="0"/>
                <w:bCs w:val="0"/>
                <w:iCs/>
                <w:sz w:val="20"/>
                <w:szCs w:val="20"/>
              </w:rPr>
              <w:t xml:space="preserve">Затвердити </w:t>
            </w:r>
            <w:r w:rsidRPr="006C150F">
              <w:rPr>
                <w:b w:val="0"/>
                <w:sz w:val="20"/>
                <w:szCs w:val="20"/>
              </w:rPr>
              <w:t xml:space="preserve">результати фінансово- господарської діяльності Товариства за 2023 </w:t>
            </w:r>
            <w:r>
              <w:rPr>
                <w:b w:val="0"/>
                <w:sz w:val="20"/>
                <w:szCs w:val="20"/>
              </w:rPr>
              <w:t>рік</w:t>
            </w:r>
          </w:p>
          <w:p w:rsidR="00D2724C" w:rsidRDefault="00D2724C" w:rsidP="00AC42E8">
            <w:pPr>
              <w:ind w:left="33"/>
              <w:jc w:val="both"/>
              <w:rPr>
                <w:iCs/>
                <w:sz w:val="20"/>
                <w:szCs w:val="20"/>
              </w:rPr>
            </w:pPr>
            <w:r w:rsidRPr="00F26E09">
              <w:rPr>
                <w:iCs/>
                <w:sz w:val="20"/>
                <w:szCs w:val="20"/>
              </w:rPr>
              <w:t xml:space="preserve">Затвердити </w:t>
            </w:r>
            <w:r>
              <w:rPr>
                <w:iCs/>
                <w:sz w:val="20"/>
                <w:szCs w:val="20"/>
              </w:rPr>
              <w:t xml:space="preserve">прибуток </w:t>
            </w:r>
            <w:r w:rsidRPr="00F26E09">
              <w:rPr>
                <w:iCs/>
                <w:sz w:val="20"/>
                <w:szCs w:val="20"/>
              </w:rPr>
              <w:t>Товариства за 20</w:t>
            </w:r>
            <w:r>
              <w:rPr>
                <w:iCs/>
                <w:sz w:val="20"/>
                <w:szCs w:val="20"/>
              </w:rPr>
              <w:t xml:space="preserve">23 </w:t>
            </w:r>
            <w:r w:rsidRPr="00F26E09">
              <w:rPr>
                <w:iCs/>
                <w:sz w:val="20"/>
                <w:szCs w:val="20"/>
              </w:rPr>
              <w:t xml:space="preserve">рік у </w:t>
            </w:r>
            <w:r w:rsidRPr="00E82430">
              <w:rPr>
                <w:iCs/>
                <w:sz w:val="20"/>
                <w:szCs w:val="20"/>
              </w:rPr>
              <w:t xml:space="preserve">сумі </w:t>
            </w:r>
            <w:r>
              <w:rPr>
                <w:iCs/>
                <w:sz w:val="20"/>
                <w:szCs w:val="20"/>
              </w:rPr>
              <w:t>3952,5</w:t>
            </w:r>
            <w:r w:rsidRPr="00E82430">
              <w:rPr>
                <w:iCs/>
                <w:sz w:val="20"/>
                <w:szCs w:val="20"/>
              </w:rPr>
              <w:t xml:space="preserve"> тис. грн.</w:t>
            </w:r>
            <w:r w:rsidRPr="00F26E0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Направити 100% отриманого прибутку на використання в господарській діяльності Товариства.</w:t>
            </w:r>
          </w:p>
          <w:p w:rsidR="00643F6C" w:rsidRPr="00A2098F" w:rsidRDefault="00643F6C" w:rsidP="009F3D07">
            <w:pPr>
              <w:tabs>
                <w:tab w:val="left" w:pos="840"/>
              </w:tabs>
              <w:ind w:right="-6" w:firstLine="33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24C" w:rsidRDefault="00A2098F" w:rsidP="00D2724C">
            <w:pPr>
              <w:pStyle w:val="Standard"/>
              <w:tabs>
                <w:tab w:val="left" w:pos="60"/>
              </w:tabs>
              <w:ind w:right="18" w:firstLine="33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D2724C">
              <w:rPr>
                <w:b/>
                <w:sz w:val="20"/>
                <w:szCs w:val="20"/>
                <w:lang w:val="uk-UA"/>
              </w:rPr>
      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      </w:r>
          </w:p>
          <w:p w:rsidR="00643F6C" w:rsidRPr="00A807AB" w:rsidRDefault="00643F6C" w:rsidP="00641F56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24C" w:rsidRPr="008377B4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>У зв’язку з неможливістю на дату проведення даних Загальних зборів визначити, які значні правочини вчинятимуться Товариством у ході поточної господарської діяльності, необхідно прийняти рішення про попереднє схвалення значних правочинів, які будуть вчинятися Товариством протягом не більш як одного року з дати прийняття такого рішення.</w:t>
            </w:r>
          </w:p>
          <w:p w:rsidR="00D2724C" w:rsidRPr="001A39D3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Попередньо схвалити вчинення Товариством </w:t>
            </w:r>
            <w:r w:rsidRPr="001A39D3">
              <w:rPr>
                <w:sz w:val="20"/>
                <w:szCs w:val="20"/>
              </w:rPr>
              <w:t>протягом одного року з дати прийняття цього рішення Загальними зборами</w:t>
            </w:r>
            <w:r w:rsidRPr="001A39D3">
              <w:rPr>
                <w:sz w:val="20"/>
                <w:szCs w:val="20"/>
                <w:lang w:eastAsia="uk-UA"/>
              </w:rPr>
              <w:t xml:space="preserve"> значних правочинів </w:t>
            </w:r>
            <w:r w:rsidRPr="001A39D3">
              <w:rPr>
                <w:sz w:val="20"/>
                <w:szCs w:val="20"/>
              </w:rPr>
              <w:t>граничною сукупною вартістю, що не перевищуватиме 500</w:t>
            </w:r>
            <w:r w:rsidRPr="001A39D3">
              <w:rPr>
                <w:sz w:val="20"/>
                <w:szCs w:val="20"/>
                <w:lang w:val="en-US"/>
              </w:rPr>
              <w:t> </w:t>
            </w:r>
            <w:r w:rsidRPr="001A39D3">
              <w:rPr>
                <w:sz w:val="20"/>
                <w:szCs w:val="20"/>
              </w:rPr>
              <w:t>000 000,00 (п’ятсот мільйонів гривень 00 копійок )  грн.</w:t>
            </w:r>
            <w:r w:rsidRPr="001A39D3">
              <w:rPr>
                <w:sz w:val="20"/>
                <w:szCs w:val="20"/>
                <w:lang w:eastAsia="uk-UA"/>
              </w:rPr>
              <w:t>, предметом (характером) яких є:</w:t>
            </w:r>
          </w:p>
          <w:p w:rsidR="00D2724C" w:rsidRPr="008377B4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>- одержання Товариством  кредитів/позик (прийняття грошових зобов’язань), гарантій, акредитивів та/або одержання будь-яких інших банківських продуктів/послуг;</w:t>
            </w:r>
          </w:p>
          <w:p w:rsidR="00D2724C" w:rsidRPr="008377B4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 xml:space="preserve">- передача майна (майнових прав) Товариства в заставу/іпотеку та/або укладання інших договорів забезпечення виконання зобов’язань (в </w:t>
            </w:r>
            <w:proofErr w:type="spellStart"/>
            <w:r w:rsidRPr="008377B4">
              <w:rPr>
                <w:sz w:val="20"/>
                <w:szCs w:val="20"/>
                <w:lang w:eastAsia="uk-UA"/>
              </w:rPr>
              <w:t>т.ч</w:t>
            </w:r>
            <w:proofErr w:type="spellEnd"/>
            <w:r w:rsidRPr="008377B4">
              <w:rPr>
                <w:sz w:val="20"/>
                <w:szCs w:val="20"/>
                <w:lang w:eastAsia="uk-UA"/>
              </w:rPr>
              <w:t>. договору поруки) Товариства та/або забезпечення зобов’язань будь-яких третіх осіб;</w:t>
            </w:r>
          </w:p>
          <w:p w:rsidR="00D2724C" w:rsidRPr="001A39D3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 xml:space="preserve">- договорів купівлі-продажу майна (в тому числі нерухомого майна), корпоративних прав, відступлення права вимоги та/або </w:t>
            </w:r>
            <w:r w:rsidRPr="001A39D3">
              <w:rPr>
                <w:sz w:val="20"/>
                <w:szCs w:val="20"/>
                <w:lang w:eastAsia="uk-UA"/>
              </w:rPr>
              <w:t>переведення боргу, оренди та лізингу,</w:t>
            </w:r>
            <w:r w:rsidRPr="001A39D3">
              <w:rPr>
                <w:sz w:val="20"/>
                <w:szCs w:val="20"/>
              </w:rPr>
              <w:t xml:space="preserve"> </w:t>
            </w:r>
            <w:proofErr w:type="spellStart"/>
            <w:r w:rsidRPr="001A39D3">
              <w:rPr>
                <w:sz w:val="20"/>
                <w:szCs w:val="20"/>
              </w:rPr>
              <w:t>підряду</w:t>
            </w:r>
            <w:proofErr w:type="spellEnd"/>
            <w:r w:rsidRPr="001A39D3">
              <w:rPr>
                <w:sz w:val="20"/>
                <w:szCs w:val="20"/>
              </w:rPr>
              <w:t>, надання послуг та будь-яких інших значних правочинів з іншими суб’єктами господарювання</w:t>
            </w:r>
            <w:r w:rsidRPr="001A39D3">
              <w:rPr>
                <w:sz w:val="20"/>
                <w:szCs w:val="20"/>
                <w:lang w:eastAsia="uk-UA"/>
              </w:rPr>
              <w:t>;</w:t>
            </w:r>
          </w:p>
          <w:p w:rsidR="00D2724C" w:rsidRPr="001A39D3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- разове продовження строку дії укладених  договорів щодо прийняття грошових зобов’язань не більше ніж на п’ять років </w:t>
            </w:r>
          </w:p>
          <w:p w:rsidR="00D2724C" w:rsidRPr="001A39D3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>При цьому гранична сукупна вартість попередньо схвалених Загальними зборами акціонерів значних правочинів щодо:</w:t>
            </w:r>
          </w:p>
          <w:p w:rsidR="00D2724C" w:rsidRPr="001A39D3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- одержання Товариством кредитів/позик (прийняття грошових зобов’язань), гарантій, акредитивів та/або одержання будь-яких інших банківських продуктів/послуг з усіма змінами та доповненнями, та  операцій з майном (майновими права) Товариства з усіма змінами та доповненнями не може перевищувати </w:t>
            </w:r>
            <w:r w:rsidRPr="001A39D3">
              <w:rPr>
                <w:sz w:val="20"/>
                <w:szCs w:val="20"/>
              </w:rPr>
              <w:t xml:space="preserve">500 000 000,00 (п’ятсот мільйонів  гривень 00 копійок )  </w:t>
            </w:r>
          </w:p>
          <w:p w:rsidR="00D2724C" w:rsidRPr="001A39D3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Надати </w:t>
            </w:r>
            <w:r>
              <w:rPr>
                <w:sz w:val="20"/>
                <w:szCs w:val="20"/>
                <w:lang w:eastAsia="uk-UA"/>
              </w:rPr>
              <w:t>Генеральному д</w:t>
            </w:r>
            <w:r w:rsidRPr="001A39D3">
              <w:rPr>
                <w:sz w:val="20"/>
                <w:szCs w:val="20"/>
                <w:lang w:eastAsia="uk-UA"/>
              </w:rPr>
              <w:t>иректору Товариства повноваження без отримання додаткового рішення Загальних зборів акціонерів:</w:t>
            </w:r>
          </w:p>
          <w:p w:rsidR="00D2724C" w:rsidRPr="001A39D3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- погоджувати умови попередньо схвалених Загальними зборами акціонерів значних правочинів з усіма можливими змінами та доповненнями, які будуть укладатись Товариством </w:t>
            </w:r>
            <w:r w:rsidRPr="001A39D3">
              <w:rPr>
                <w:sz w:val="20"/>
                <w:szCs w:val="20"/>
              </w:rPr>
              <w:t>протягом одного року з дати прийняття цього рішення Загальними зборами;</w:t>
            </w:r>
            <w:r w:rsidRPr="001A39D3">
              <w:rPr>
                <w:sz w:val="20"/>
                <w:szCs w:val="20"/>
                <w:lang w:eastAsia="uk-UA"/>
              </w:rPr>
              <w:t xml:space="preserve"> </w:t>
            </w:r>
          </w:p>
          <w:p w:rsidR="00D2724C" w:rsidRPr="008377B4" w:rsidRDefault="00D2724C" w:rsidP="00AC42E8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lastRenderedPageBreak/>
              <w:t>- погоджувати/визначати перелік майна (майнових прав), корпоративних прав Товариства, яке підлягає відчуженню, передачі в заставу/іпотеку, придбанню, тощо;</w:t>
            </w:r>
          </w:p>
          <w:p w:rsidR="00D2724C" w:rsidRPr="008377B4" w:rsidRDefault="00D2724C" w:rsidP="00AC42E8">
            <w:pPr>
              <w:autoSpaceDE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377B4">
              <w:rPr>
                <w:rFonts w:eastAsia="Calibri"/>
                <w:sz w:val="20"/>
                <w:szCs w:val="20"/>
              </w:rPr>
              <w:t xml:space="preserve">- надавати згоду (уповноважувати з правом передоручення) на укладання (підписання) </w:t>
            </w:r>
            <w:r>
              <w:rPr>
                <w:rFonts w:eastAsia="Calibri"/>
                <w:sz w:val="20"/>
                <w:szCs w:val="20"/>
              </w:rPr>
              <w:t xml:space="preserve">Генеральному </w:t>
            </w:r>
            <w:r w:rsidRPr="008377B4">
              <w:rPr>
                <w:rFonts w:eastAsia="Calibri"/>
                <w:sz w:val="20"/>
                <w:szCs w:val="20"/>
              </w:rPr>
              <w:t>директору  Товариства попередньо схвалених в цьому пункті Порядку денного Загальними зборами значних правочинів з усіма змінами та доповненнями до них.</w:t>
            </w:r>
          </w:p>
          <w:p w:rsidR="00D2724C" w:rsidRDefault="00D2724C" w:rsidP="00AC42E8">
            <w:pPr>
              <w:pStyle w:val="Standard"/>
              <w:ind w:right="18"/>
              <w:jc w:val="both"/>
              <w:rPr>
                <w:bCs/>
                <w:sz w:val="20"/>
                <w:szCs w:val="20"/>
                <w:lang w:val="uk-UA"/>
              </w:rPr>
            </w:pPr>
            <w:r w:rsidRPr="001A39D3">
              <w:rPr>
                <w:sz w:val="20"/>
                <w:szCs w:val="20"/>
                <w:lang w:val="uk-UA" w:eastAsia="uk-UA"/>
              </w:rPr>
              <w:t>Товариство усвідомлює, що вчинення значного правочину є чинним незалежно від збільшення у майбутньому ринкової вартості майна Товариства, збільшення/зменшення вартості активів Товариства за даними останньої річної фінансової звітності, а також можливих коливань курсу гривні до іноземних валют.</w:t>
            </w:r>
          </w:p>
          <w:p w:rsidR="00643F6C" w:rsidRPr="00A807AB" w:rsidRDefault="00643F6C" w:rsidP="00AC42E8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B328B" w:rsidRPr="000079FA" w:rsidRDefault="00BB328B" w:rsidP="00643F6C">
      <w:pPr>
        <w:rPr>
          <w:sz w:val="10"/>
          <w:szCs w:val="10"/>
          <w:lang w:val="ru-RU"/>
        </w:rPr>
      </w:pPr>
    </w:p>
    <w:p w:rsidR="00BB328B" w:rsidRPr="000079FA" w:rsidRDefault="00BB328B" w:rsidP="00643F6C">
      <w:pPr>
        <w:rPr>
          <w:sz w:val="10"/>
          <w:szCs w:val="10"/>
          <w:lang w:val="ru-RU"/>
        </w:rPr>
      </w:pPr>
    </w:p>
    <w:sectPr w:rsidR="00BB328B" w:rsidRPr="000079FA" w:rsidSect="007F3C97">
      <w:footerReference w:type="default" r:id="rId8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64" w:rsidRDefault="00242064">
      <w:r>
        <w:separator/>
      </w:r>
    </w:p>
  </w:endnote>
  <w:endnote w:type="continuationSeparator" w:id="0">
    <w:p w:rsidR="00242064" w:rsidRDefault="0024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242064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3B103F">
            <w:rPr>
              <w:rFonts w:eastAsia="Times New Roman"/>
              <w:noProof/>
              <w:sz w:val="20"/>
              <w:szCs w:val="22"/>
            </w:rPr>
            <w:t>4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24206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24206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24206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242064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24206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242064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64" w:rsidRDefault="00242064">
      <w:r>
        <w:separator/>
      </w:r>
    </w:p>
  </w:footnote>
  <w:footnote w:type="continuationSeparator" w:id="0">
    <w:p w:rsidR="00242064" w:rsidRDefault="0024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42064"/>
    <w:rsid w:val="0027194C"/>
    <w:rsid w:val="002970C1"/>
    <w:rsid w:val="002B3C97"/>
    <w:rsid w:val="002B7646"/>
    <w:rsid w:val="00331E2D"/>
    <w:rsid w:val="0036180F"/>
    <w:rsid w:val="0036656B"/>
    <w:rsid w:val="0038720A"/>
    <w:rsid w:val="003B103F"/>
    <w:rsid w:val="003D64EA"/>
    <w:rsid w:val="0045187B"/>
    <w:rsid w:val="00457D85"/>
    <w:rsid w:val="004C6017"/>
    <w:rsid w:val="004F1412"/>
    <w:rsid w:val="00564871"/>
    <w:rsid w:val="00582D76"/>
    <w:rsid w:val="00583EC0"/>
    <w:rsid w:val="005972DA"/>
    <w:rsid w:val="005C115E"/>
    <w:rsid w:val="005E4DFF"/>
    <w:rsid w:val="005F0F57"/>
    <w:rsid w:val="00632AB7"/>
    <w:rsid w:val="00641F56"/>
    <w:rsid w:val="00642964"/>
    <w:rsid w:val="00643F6C"/>
    <w:rsid w:val="00695B3C"/>
    <w:rsid w:val="006A721E"/>
    <w:rsid w:val="006D752F"/>
    <w:rsid w:val="006E6E5D"/>
    <w:rsid w:val="00701C95"/>
    <w:rsid w:val="007135A2"/>
    <w:rsid w:val="00743F08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B73B3"/>
    <w:rsid w:val="00943C11"/>
    <w:rsid w:val="009441AE"/>
    <w:rsid w:val="009A741B"/>
    <w:rsid w:val="009A7627"/>
    <w:rsid w:val="009B6319"/>
    <w:rsid w:val="009D2A9C"/>
    <w:rsid w:val="009F3D07"/>
    <w:rsid w:val="00A015A7"/>
    <w:rsid w:val="00A2098F"/>
    <w:rsid w:val="00A720E3"/>
    <w:rsid w:val="00A807AB"/>
    <w:rsid w:val="00AB50A2"/>
    <w:rsid w:val="00AC42E8"/>
    <w:rsid w:val="00B04661"/>
    <w:rsid w:val="00B04F6B"/>
    <w:rsid w:val="00B6410E"/>
    <w:rsid w:val="00B976A9"/>
    <w:rsid w:val="00BB069B"/>
    <w:rsid w:val="00BB328B"/>
    <w:rsid w:val="00BD7B34"/>
    <w:rsid w:val="00BD7B56"/>
    <w:rsid w:val="00CB6B00"/>
    <w:rsid w:val="00CD24E4"/>
    <w:rsid w:val="00CE31DC"/>
    <w:rsid w:val="00D179ED"/>
    <w:rsid w:val="00D241F1"/>
    <w:rsid w:val="00D2724C"/>
    <w:rsid w:val="00D32A0B"/>
    <w:rsid w:val="00D75875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70F5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4CCA-5C4E-439A-BB3B-79E4B610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4441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</dc:creator>
  <cp:keywords/>
  <dc:description/>
  <cp:lastModifiedBy>Iren_PC</cp:lastModifiedBy>
  <cp:revision>10</cp:revision>
  <dcterms:created xsi:type="dcterms:W3CDTF">2024-06-10T20:14:00Z</dcterms:created>
  <dcterms:modified xsi:type="dcterms:W3CDTF">2024-11-13T17:07:00Z</dcterms:modified>
</cp:coreProperties>
</file>